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D3C0B" w14:textId="4EA279B2" w:rsidR="0069214F" w:rsidRPr="00206F70" w:rsidRDefault="0069214F" w:rsidP="00D6213A">
      <w:pPr>
        <w:tabs>
          <w:tab w:val="left" w:pos="1965"/>
        </w:tabs>
        <w:jc w:val="center"/>
        <w:rPr>
          <w:rFonts w:ascii="Avenir Next LT Pro" w:hAnsi="Avenir Next LT Pro"/>
          <w:color w:val="FFC000" w:themeColor="accent4"/>
          <w:sz w:val="44"/>
          <w:szCs w:val="44"/>
        </w:rPr>
      </w:pPr>
      <w:r w:rsidRPr="00206F70">
        <w:rPr>
          <w:rFonts w:ascii="Avenir Next LT Pro" w:hAnsi="Avenir Next LT Pro"/>
          <w:color w:val="FFC000" w:themeColor="accent4"/>
          <w:sz w:val="44"/>
          <w:szCs w:val="44"/>
        </w:rPr>
        <w:t>Accord sectoriel 2019-2020</w:t>
      </w:r>
      <w:r w:rsidR="00206F70" w:rsidRPr="00206F70">
        <w:rPr>
          <w:rFonts w:ascii="Avenir Next LT Pro" w:hAnsi="Avenir Next LT Pro"/>
          <w:color w:val="FFC000" w:themeColor="accent4"/>
          <w:sz w:val="44"/>
          <w:szCs w:val="44"/>
        </w:rPr>
        <w:t> : quels aboutissements pour le secteur des ETA ?</w:t>
      </w:r>
    </w:p>
    <w:p w14:paraId="7B7F3861" w14:textId="77777777" w:rsidR="00206F70" w:rsidRDefault="00206F70" w:rsidP="00206F70">
      <w:pPr>
        <w:jc w:val="both"/>
        <w:rPr>
          <w:b/>
          <w:bCs/>
          <w:sz w:val="28"/>
          <w:szCs w:val="28"/>
        </w:rPr>
      </w:pPr>
    </w:p>
    <w:p w14:paraId="43B64417" w14:textId="132487ED" w:rsidR="00206F70" w:rsidRPr="00D6213A" w:rsidRDefault="00206F70" w:rsidP="00D6213A">
      <w:pPr>
        <w:jc w:val="both"/>
        <w:rPr>
          <w:rFonts w:ascii="Avenir Next LT Pro" w:hAnsi="Avenir Next LT Pro"/>
          <w:sz w:val="24"/>
          <w:szCs w:val="24"/>
        </w:rPr>
      </w:pPr>
      <w:r w:rsidRPr="00D6213A">
        <w:rPr>
          <w:rFonts w:ascii="Avenir Next LT Pro" w:hAnsi="Avenir Next LT Pro"/>
          <w:sz w:val="24"/>
          <w:szCs w:val="24"/>
        </w:rPr>
        <w:t xml:space="preserve">Chers travailleurs, </w:t>
      </w:r>
    </w:p>
    <w:p w14:paraId="425EF601" w14:textId="77777777" w:rsidR="00206F70" w:rsidRPr="00D6213A" w:rsidRDefault="00206F70" w:rsidP="00D6213A">
      <w:pPr>
        <w:jc w:val="both"/>
        <w:rPr>
          <w:rFonts w:ascii="Avenir Next LT Pro" w:hAnsi="Avenir Next LT Pro"/>
          <w:sz w:val="24"/>
          <w:szCs w:val="24"/>
        </w:rPr>
      </w:pPr>
      <w:r w:rsidRPr="00D6213A">
        <w:rPr>
          <w:rFonts w:ascii="Avenir Next LT Pro" w:hAnsi="Avenir Next LT Pro"/>
          <w:sz w:val="24"/>
          <w:szCs w:val="24"/>
        </w:rPr>
        <w:t>Les partenaires sociaux ont conclu, ce 29 novembre, un protocole d’accord pour les années 2019 et 2020. Les responsables et cadres des Entreprises de Travail Adapté se félicitent de cet</w:t>
      </w:r>
      <w:bookmarkStart w:id="0" w:name="_GoBack"/>
      <w:bookmarkEnd w:id="0"/>
      <w:r w:rsidRPr="00D6213A">
        <w:rPr>
          <w:rFonts w:ascii="Avenir Next LT Pro" w:hAnsi="Avenir Next LT Pro"/>
          <w:sz w:val="24"/>
          <w:szCs w:val="24"/>
        </w:rPr>
        <w:t xml:space="preserve"> accord et tiennent à vous faire part des répercussions positives qu’il entraine pour vous comme pour le secteur des ETA. </w:t>
      </w:r>
    </w:p>
    <w:p w14:paraId="7B5412E1" w14:textId="77777777" w:rsidR="00D6213A" w:rsidRDefault="00D6213A" w:rsidP="00D6213A">
      <w:pPr>
        <w:rPr>
          <w:rFonts w:ascii="Avenir Next LT Pro" w:hAnsi="Avenir Next LT Pro"/>
          <w:color w:val="2E74B5" w:themeColor="accent5" w:themeShade="BF"/>
          <w:sz w:val="32"/>
          <w:szCs w:val="32"/>
        </w:rPr>
      </w:pPr>
    </w:p>
    <w:p w14:paraId="1AE75862" w14:textId="115E1D04" w:rsidR="00D6213A" w:rsidRPr="00D6213A" w:rsidRDefault="00D6213A" w:rsidP="00D6213A">
      <w:pPr>
        <w:rPr>
          <w:rFonts w:ascii="Avenir Next LT Pro" w:hAnsi="Avenir Next LT Pro"/>
          <w:color w:val="2E74B5" w:themeColor="accent5" w:themeShade="BF"/>
          <w:sz w:val="28"/>
          <w:szCs w:val="28"/>
        </w:rPr>
      </w:pPr>
      <w:r w:rsidRPr="00D6213A">
        <w:rPr>
          <w:rFonts w:ascii="Avenir Next LT Pro" w:hAnsi="Avenir Next LT Pro"/>
          <w:color w:val="2E74B5" w:themeColor="accent5" w:themeShade="BF"/>
          <w:sz w:val="28"/>
          <w:szCs w:val="28"/>
        </w:rPr>
        <w:t>Augmentation du pouvoir d’achat</w:t>
      </w:r>
    </w:p>
    <w:p w14:paraId="1ADAB101" w14:textId="77777777" w:rsidR="00206F70" w:rsidRDefault="00206F70" w:rsidP="00206F70">
      <w:pPr>
        <w:jc w:val="both"/>
      </w:pPr>
      <w:r w:rsidRPr="00B54BD7">
        <w:t xml:space="preserve">Les partenaires sociaux ont acté une augmentation de salaire </w:t>
      </w:r>
      <w:r w:rsidRPr="00BE6931">
        <w:rPr>
          <w:b/>
          <w:bCs/>
        </w:rPr>
        <w:t>de 12 cents brut</w:t>
      </w:r>
      <w:r>
        <w:rPr>
          <w:b/>
          <w:bCs/>
        </w:rPr>
        <w:t>s</w:t>
      </w:r>
      <w:r w:rsidRPr="00B54BD7">
        <w:t xml:space="preserve"> par heure pour </w:t>
      </w:r>
      <w:r w:rsidRPr="000A6152">
        <w:rPr>
          <w:b/>
          <w:bCs/>
        </w:rPr>
        <w:t>tous les travailleurs du secteur</w:t>
      </w:r>
      <w:r>
        <w:t>. Cette augmentation sera effective</w:t>
      </w:r>
      <w:r w:rsidRPr="00B54BD7">
        <w:t xml:space="preserve"> à partir du 1</w:t>
      </w:r>
      <w:r w:rsidRPr="00B54BD7">
        <w:rPr>
          <w:vertAlign w:val="superscript"/>
        </w:rPr>
        <w:t>er</w:t>
      </w:r>
      <w:r w:rsidRPr="00B54BD7">
        <w:t xml:space="preserve"> mai 2019.</w:t>
      </w:r>
    </w:p>
    <w:p w14:paraId="52C52B55" w14:textId="77777777" w:rsidR="00206F70" w:rsidRPr="00A7705D" w:rsidRDefault="00206F70" w:rsidP="00206F70">
      <w:pPr>
        <w:jc w:val="both"/>
        <w:rPr>
          <w:u w:val="single"/>
        </w:rPr>
      </w:pPr>
      <w:r w:rsidRPr="00A7705D">
        <w:rPr>
          <w:u w:val="single"/>
        </w:rPr>
        <w:t>Comment se traduira cette augmentation ?</w:t>
      </w:r>
    </w:p>
    <w:p w14:paraId="711C5004" w14:textId="77777777" w:rsidR="00206F70" w:rsidRDefault="00206F70" w:rsidP="00206F70">
      <w:pPr>
        <w:jc w:val="both"/>
      </w:pPr>
      <w:r>
        <w:rPr>
          <w:b/>
          <w:bCs/>
        </w:rPr>
        <w:t xml:space="preserve">- </w:t>
      </w:r>
      <w:r w:rsidRPr="00824228">
        <w:rPr>
          <w:b/>
          <w:bCs/>
        </w:rPr>
        <w:t>Pour l’année 2019</w:t>
      </w:r>
      <w:r w:rsidRPr="00B54BD7">
        <w:t xml:space="preserve">, </w:t>
      </w:r>
      <w:r>
        <w:t xml:space="preserve">vos salaires ayant déjà été payés, </w:t>
      </w:r>
      <w:r w:rsidRPr="00B54BD7">
        <w:t xml:space="preserve">vous </w:t>
      </w:r>
      <w:r>
        <w:t xml:space="preserve">la </w:t>
      </w:r>
      <w:r w:rsidRPr="00B54BD7">
        <w:t>recevrez</w:t>
      </w:r>
      <w:r>
        <w:t xml:space="preserve"> </w:t>
      </w:r>
      <w:r w:rsidRPr="00B54BD7">
        <w:t xml:space="preserve">sous forme </w:t>
      </w:r>
      <w:r w:rsidRPr="00824228">
        <w:rPr>
          <w:b/>
          <w:bCs/>
        </w:rPr>
        <w:t>de prime unique</w:t>
      </w:r>
      <w:r w:rsidRPr="00B54BD7">
        <w:t xml:space="preserve"> (le calcul de cette prime pren</w:t>
      </w:r>
      <w:r>
        <w:t>dra</w:t>
      </w:r>
      <w:r w:rsidRPr="00B54BD7">
        <w:t xml:space="preserve"> en compte les mêmes modalités d’assimilations que la prime variable que vous touchez en fin d’année).</w:t>
      </w:r>
      <w:r>
        <w:t xml:space="preserve"> Cette prime viendra donc s’ajouter à votre prime de fin d’année.</w:t>
      </w:r>
    </w:p>
    <w:p w14:paraId="6636981F" w14:textId="77777777" w:rsidR="00206F70" w:rsidRDefault="00206F70" w:rsidP="00206F70">
      <w:pPr>
        <w:jc w:val="both"/>
      </w:pPr>
      <w:r w:rsidRPr="00273FE5">
        <w:rPr>
          <w:b/>
          <w:bCs/>
        </w:rPr>
        <w:t>- A partir de 2020</w:t>
      </w:r>
      <w:r w:rsidRPr="00273FE5">
        <w:t xml:space="preserve">, vos salaires seront revus à la hausse et </w:t>
      </w:r>
      <w:r>
        <w:t xml:space="preserve">automatiquement </w:t>
      </w:r>
      <w:r w:rsidRPr="00273FE5">
        <w:t>augmentés de 12 cents bruts par heure (soit 19,76 euros bruts par mois pour un temps plein).</w:t>
      </w:r>
    </w:p>
    <w:p w14:paraId="5776C20A" w14:textId="77777777" w:rsidR="00206F70" w:rsidRDefault="00206F70" w:rsidP="00206F70">
      <w:pPr>
        <w:jc w:val="both"/>
      </w:pPr>
      <w:r>
        <w:t xml:space="preserve">Notez qu’il s’agit d’une augmentation sur le salaire </w:t>
      </w:r>
      <w:r w:rsidRPr="00824228">
        <w:rPr>
          <w:b/>
          <w:bCs/>
        </w:rPr>
        <w:t>brut</w:t>
      </w:r>
      <w:r>
        <w:t xml:space="preserve">. La prime comme l’augmentation de salaire sont donc </w:t>
      </w:r>
      <w:r w:rsidRPr="00824228">
        <w:rPr>
          <w:b/>
          <w:bCs/>
        </w:rPr>
        <w:t>imposables</w:t>
      </w:r>
      <w:r>
        <w:t xml:space="preserve">. </w:t>
      </w:r>
    </w:p>
    <w:p w14:paraId="01FEDF3D" w14:textId="628BD747" w:rsidR="00206F70" w:rsidRDefault="00206F70" w:rsidP="00206F70">
      <w:pPr>
        <w:jc w:val="both"/>
      </w:pPr>
      <w:r w:rsidRPr="00273FE5">
        <w:t>Par ailleurs, à partir 2020, les jours d’accident de travail seront assimilés à votre prime de fin d’année variable.</w:t>
      </w:r>
    </w:p>
    <w:p w14:paraId="29CE9ACE" w14:textId="4794DA24" w:rsidR="00D6213A" w:rsidRPr="00D6213A" w:rsidRDefault="00D6213A" w:rsidP="00D6213A">
      <w:pPr>
        <w:rPr>
          <w:rFonts w:ascii="Avenir Next LT Pro" w:hAnsi="Avenir Next LT Pro"/>
          <w:color w:val="2E74B5" w:themeColor="accent5" w:themeShade="BF"/>
          <w:sz w:val="28"/>
          <w:szCs w:val="28"/>
        </w:rPr>
      </w:pPr>
      <w:bookmarkStart w:id="1" w:name="_Hlk26374005"/>
      <w:r w:rsidRPr="00D6213A">
        <w:rPr>
          <w:rFonts w:ascii="Avenir Next LT Pro" w:hAnsi="Avenir Next LT Pro"/>
          <w:color w:val="2E74B5" w:themeColor="accent5" w:themeShade="BF"/>
          <w:sz w:val="28"/>
          <w:szCs w:val="28"/>
        </w:rPr>
        <w:t xml:space="preserve">Subvention </w:t>
      </w:r>
      <w:proofErr w:type="spellStart"/>
      <w:r w:rsidRPr="00D6213A">
        <w:rPr>
          <w:rFonts w:ascii="Avenir Next LT Pro" w:hAnsi="Avenir Next LT Pro"/>
          <w:color w:val="2E74B5" w:themeColor="accent5" w:themeShade="BF"/>
          <w:sz w:val="28"/>
          <w:szCs w:val="28"/>
        </w:rPr>
        <w:t>Maribel</w:t>
      </w:r>
      <w:proofErr w:type="spellEnd"/>
      <w:r w:rsidRPr="00D6213A">
        <w:rPr>
          <w:rFonts w:ascii="Avenir Next LT Pro" w:hAnsi="Avenir Next LT Pro"/>
          <w:color w:val="2E74B5" w:themeColor="accent5" w:themeShade="BF"/>
          <w:sz w:val="28"/>
          <w:szCs w:val="28"/>
        </w:rPr>
        <w:t xml:space="preserve"> Employeur</w:t>
      </w:r>
    </w:p>
    <w:bookmarkEnd w:id="1"/>
    <w:p w14:paraId="4E7EDCB7" w14:textId="77777777" w:rsidR="00206F70" w:rsidRPr="007E631F" w:rsidRDefault="00206F70" w:rsidP="00206F70">
      <w:pPr>
        <w:jc w:val="both"/>
      </w:pPr>
      <w:r w:rsidRPr="000E02D7">
        <w:t>Syndicats et employeurs investissent temps et énergie</w:t>
      </w:r>
      <w:r>
        <w:t xml:space="preserve"> pour améliorer continuellement le secteur en participant à des</w:t>
      </w:r>
      <w:r w:rsidRPr="000E02D7">
        <w:t xml:space="preserve"> rencontres et </w:t>
      </w:r>
      <w:r>
        <w:t xml:space="preserve">des </w:t>
      </w:r>
      <w:r w:rsidRPr="000E02D7">
        <w:t xml:space="preserve">négociations (comme celles que nous venons par exemple de clôturer). Comme cela était déjà le cas pour les représentants syndicaux, les représentants patronaux en commission paritaire seront dorénavant </w:t>
      </w:r>
      <w:r w:rsidRPr="000E02D7">
        <w:rPr>
          <w:b/>
          <w:bCs/>
        </w:rPr>
        <w:t xml:space="preserve">reconnus pour leur investissement </w:t>
      </w:r>
      <w:r>
        <w:t>dans ces activités venant s’ajouter à</w:t>
      </w:r>
      <w:r w:rsidRPr="000E02D7">
        <w:t xml:space="preserve"> la gestion de leur ETA.</w:t>
      </w:r>
      <w:r>
        <w:t xml:space="preserve"> Cette mesure permettra </w:t>
      </w:r>
      <w:r w:rsidRPr="00273FE5">
        <w:rPr>
          <w:b/>
          <w:bCs/>
        </w:rPr>
        <w:t>la création de 5 temps plein ou 10 mi-temps</w:t>
      </w:r>
      <w:r>
        <w:t xml:space="preserve"> pour le secteur en général.</w:t>
      </w:r>
    </w:p>
    <w:p w14:paraId="6E942CA0" w14:textId="5CF96C92" w:rsidR="00D6213A" w:rsidRPr="00D6213A" w:rsidRDefault="00D6213A" w:rsidP="00D6213A">
      <w:pPr>
        <w:rPr>
          <w:rFonts w:ascii="Avenir Next LT Pro" w:hAnsi="Avenir Next LT Pro"/>
          <w:color w:val="2E74B5" w:themeColor="accent5" w:themeShade="BF"/>
          <w:sz w:val="28"/>
          <w:szCs w:val="28"/>
        </w:rPr>
      </w:pPr>
      <w:r>
        <w:rPr>
          <w:rFonts w:ascii="Avenir Next LT Pro" w:hAnsi="Avenir Next LT Pro"/>
          <w:color w:val="2E74B5" w:themeColor="accent5" w:themeShade="BF"/>
          <w:sz w:val="28"/>
          <w:szCs w:val="28"/>
        </w:rPr>
        <w:lastRenderedPageBreak/>
        <w:t>Constitution de différents groupes de travail</w:t>
      </w:r>
    </w:p>
    <w:p w14:paraId="602B30B6" w14:textId="77777777" w:rsidR="00206F70" w:rsidRDefault="00206F70" w:rsidP="00206F70">
      <w:pPr>
        <w:jc w:val="both"/>
      </w:pPr>
      <w:r>
        <w:t xml:space="preserve">Il nous tient à cœur de pouvoir nous mettre autour d’une table et de discuter sereinement de sujets qui tiennent à cœur aussi bien aux syndicats qu’aux employeurs.  C’est pourquoi différents </w:t>
      </w:r>
      <w:r w:rsidRPr="002170B4">
        <w:rPr>
          <w:b/>
          <w:bCs/>
        </w:rPr>
        <w:t>groupes de travaux seront constitués sur divers sujets</w:t>
      </w:r>
      <w:r>
        <w:t xml:space="preserve"> (Temps de travail, fonctionnement des organes de concertations sociales, recherche de financement en vue d’une potentielle assurance hospitalisation).</w:t>
      </w:r>
    </w:p>
    <w:p w14:paraId="779B9453" w14:textId="4DA94638" w:rsidR="00D6213A" w:rsidRPr="00D6213A" w:rsidRDefault="00D6213A" w:rsidP="00D6213A">
      <w:pPr>
        <w:rPr>
          <w:rFonts w:ascii="Avenir Next LT Pro" w:hAnsi="Avenir Next LT Pro"/>
          <w:color w:val="2E74B5" w:themeColor="accent5" w:themeShade="BF"/>
          <w:sz w:val="28"/>
          <w:szCs w:val="28"/>
        </w:rPr>
      </w:pPr>
      <w:r>
        <w:rPr>
          <w:rFonts w:ascii="Avenir Next LT Pro" w:hAnsi="Avenir Next LT Pro"/>
          <w:color w:val="2E74B5" w:themeColor="accent5" w:themeShade="BF"/>
          <w:sz w:val="28"/>
          <w:szCs w:val="28"/>
        </w:rPr>
        <w:t>Bonnes pratiques écologiques</w:t>
      </w:r>
    </w:p>
    <w:p w14:paraId="2E5F9A95" w14:textId="71F7A164" w:rsidR="00206F70" w:rsidRDefault="00206F70" w:rsidP="00206F70">
      <w:pPr>
        <w:jc w:val="both"/>
      </w:pPr>
      <w:r>
        <w:t xml:space="preserve">Ces groupes de travail nouvellement constitués seront de plus l’occasion </w:t>
      </w:r>
      <w:r w:rsidRPr="002170B4">
        <w:rPr>
          <w:b/>
          <w:bCs/>
        </w:rPr>
        <w:t>d’échanger de bonnes pratiques</w:t>
      </w:r>
      <w:r>
        <w:t xml:space="preserve"> entre employeurs et syndicats. A cela se rajoutera la conception d’un cahier de bonnes pratiques des ETA en matière d’</w:t>
      </w:r>
      <w:r w:rsidRPr="002170B4">
        <w:rPr>
          <w:b/>
          <w:bCs/>
        </w:rPr>
        <w:t>écologie</w:t>
      </w:r>
      <w:r>
        <w:t xml:space="preserve">. Les ETA mettent déjà en place 1001 méthodes afin de réduire leur impact sur leur environnement et nous souhaitons les mettre en valeur et en faire profiter les 55 Entreprises de Travail Adapté. </w:t>
      </w:r>
    </w:p>
    <w:p w14:paraId="794278B6" w14:textId="4FDEFB33" w:rsidR="00D6213A" w:rsidRPr="00D6213A" w:rsidRDefault="00D6213A" w:rsidP="00D6213A">
      <w:pPr>
        <w:rPr>
          <w:rFonts w:ascii="Avenir Next LT Pro" w:hAnsi="Avenir Next LT Pro"/>
          <w:color w:val="2E74B5" w:themeColor="accent5" w:themeShade="BF"/>
          <w:sz w:val="28"/>
          <w:szCs w:val="28"/>
        </w:rPr>
      </w:pPr>
      <w:r>
        <w:rPr>
          <w:rFonts w:ascii="Avenir Next LT Pro" w:hAnsi="Avenir Next LT Pro"/>
          <w:color w:val="2E74B5" w:themeColor="accent5" w:themeShade="BF"/>
          <w:sz w:val="28"/>
          <w:szCs w:val="28"/>
        </w:rPr>
        <w:t>Réflexion sur le stress</w:t>
      </w:r>
    </w:p>
    <w:p w14:paraId="11EAEFF8" w14:textId="3857C558" w:rsidR="00206F70" w:rsidRDefault="00206F70" w:rsidP="00206F70">
      <w:pPr>
        <w:jc w:val="both"/>
      </w:pPr>
      <w:r w:rsidRPr="00746000">
        <w:t xml:space="preserve">Nous entamerons également une réflexion </w:t>
      </w:r>
      <w:r>
        <w:t xml:space="preserve">sur le stress qui peut parfois être présent sur le lieu de travail de chacun. A ce sujet, nous souhaitons retravailler et améliorer les actions dont vous avez peut-être bénéficiés auparavant (brochures de gestion de stress et de risques psychosociaux, …). </w:t>
      </w:r>
    </w:p>
    <w:p w14:paraId="5A76E084" w14:textId="0FDE7AD9" w:rsidR="00D6213A" w:rsidRPr="00D6213A" w:rsidRDefault="00D6213A" w:rsidP="00D6213A">
      <w:pPr>
        <w:rPr>
          <w:rFonts w:ascii="Avenir Next LT Pro" w:hAnsi="Avenir Next LT Pro"/>
          <w:color w:val="2E74B5" w:themeColor="accent5" w:themeShade="BF"/>
          <w:sz w:val="28"/>
          <w:szCs w:val="28"/>
        </w:rPr>
      </w:pPr>
      <w:r>
        <w:rPr>
          <w:rFonts w:ascii="Avenir Next LT Pro" w:hAnsi="Avenir Next LT Pro"/>
          <w:color w:val="2E74B5" w:themeColor="accent5" w:themeShade="BF"/>
          <w:sz w:val="28"/>
          <w:szCs w:val="28"/>
        </w:rPr>
        <w:t>Réflexion sur la validation des compétences</w:t>
      </w:r>
    </w:p>
    <w:p w14:paraId="398BF07A" w14:textId="651B85F6" w:rsidR="00206F70" w:rsidRDefault="00206F70" w:rsidP="00206F70">
      <w:pPr>
        <w:jc w:val="both"/>
      </w:pPr>
      <w:r>
        <w:t xml:space="preserve">Parce qu’il nous tient à cœur de valoriser vos compétences personnelles ou celles que vous avez acquises au sein de votre ETA, nous souhaitons mettre en œuvre un processus de validation des compétences </w:t>
      </w:r>
      <w:r w:rsidRPr="001212E8">
        <w:t>en se basant sur des pistes existantes</w:t>
      </w:r>
      <w:r>
        <w:t>. Cela vous permettra d’être reconnus pour votre investissement au sein de l’entreprise.</w:t>
      </w:r>
    </w:p>
    <w:p w14:paraId="4D8D7A3E" w14:textId="7FFCA774" w:rsidR="00D6213A" w:rsidRPr="00D6213A" w:rsidRDefault="00D6213A" w:rsidP="00D6213A">
      <w:pPr>
        <w:rPr>
          <w:rFonts w:ascii="Avenir Next LT Pro" w:hAnsi="Avenir Next LT Pro"/>
          <w:color w:val="2E74B5" w:themeColor="accent5" w:themeShade="BF"/>
          <w:sz w:val="28"/>
          <w:szCs w:val="28"/>
        </w:rPr>
      </w:pPr>
      <w:r>
        <w:rPr>
          <w:rFonts w:ascii="Avenir Next LT Pro" w:hAnsi="Avenir Next LT Pro"/>
          <w:color w:val="2E74B5" w:themeColor="accent5" w:themeShade="BF"/>
          <w:sz w:val="28"/>
          <w:szCs w:val="28"/>
        </w:rPr>
        <w:t>Evaluation des formations</w:t>
      </w:r>
    </w:p>
    <w:p w14:paraId="2297CAEA" w14:textId="1AB10D6C" w:rsidR="00206F70" w:rsidRDefault="00206F70" w:rsidP="00206F70">
      <w:pPr>
        <w:jc w:val="both"/>
      </w:pPr>
      <w:r>
        <w:t>Nous sommes également conscients de l’importance des formations pour que chacun puisse évoluer et apprendre du secteur et dans le secteur des ETA</w:t>
      </w:r>
      <w:r w:rsidRPr="00273FE5">
        <w:t>. Nous veillerons à ce que les formations soient plus adaptées</w:t>
      </w:r>
      <w:r>
        <w:t>. Nous procéderons donc à une évaluation du catalogue de formations proposées par l’</w:t>
      </w:r>
      <w:proofErr w:type="spellStart"/>
      <w:r>
        <w:t>AViQ</w:t>
      </w:r>
      <w:proofErr w:type="spellEnd"/>
      <w:r>
        <w:t xml:space="preserve"> afin qu’elles répondent à vos besoins de formation. Nous évaluerons également la CCT du 20 novembre 2017 relative aux efforts de formation et prendrons une position commune avec les syndicats pour discuter avec les politiques afin que vous ayez accès aux chèques formations via votre ETA.</w:t>
      </w:r>
    </w:p>
    <w:p w14:paraId="44DF72E9" w14:textId="138136BA" w:rsidR="00D6213A" w:rsidRPr="00D6213A" w:rsidRDefault="00D6213A" w:rsidP="00D6213A">
      <w:pPr>
        <w:rPr>
          <w:rFonts w:ascii="Avenir Next LT Pro" w:hAnsi="Avenir Next LT Pro"/>
          <w:color w:val="2E74B5" w:themeColor="accent5" w:themeShade="BF"/>
          <w:sz w:val="28"/>
          <w:szCs w:val="28"/>
        </w:rPr>
      </w:pPr>
      <w:r>
        <w:rPr>
          <w:rFonts w:ascii="Avenir Next LT Pro" w:hAnsi="Avenir Next LT Pro"/>
          <w:color w:val="2E74B5" w:themeColor="accent5" w:themeShade="BF"/>
          <w:sz w:val="28"/>
          <w:szCs w:val="28"/>
        </w:rPr>
        <w:t>Organisation d’une journée commune de travail/de conférence sur le secteur</w:t>
      </w:r>
    </w:p>
    <w:p w14:paraId="462130BF" w14:textId="5F1D4011" w:rsidR="0069214F" w:rsidRPr="0069214F" w:rsidRDefault="00206F70" w:rsidP="00D6213A">
      <w:pPr>
        <w:jc w:val="both"/>
      </w:pPr>
      <w:r>
        <w:t xml:space="preserve">Vous le savez, le secteur des ETA est un secteur particulier qui peut être fier de ses spécificités en matière d’emploi. Nous revendiquons ces particularités et voulons mener une réflexion commune avec les syndicats afin de </w:t>
      </w:r>
      <w:proofErr w:type="spellStart"/>
      <w:r>
        <w:t>co-construire</w:t>
      </w:r>
      <w:proofErr w:type="spellEnd"/>
      <w:r>
        <w:t xml:space="preserve"> avec eux </w:t>
      </w:r>
      <w:r w:rsidRPr="00273FE5">
        <w:t>un futur</w:t>
      </w:r>
      <w:r>
        <w:t xml:space="preserve"> serein pour nos entreprises, nous projeter dans l’avenir et continuer d’assurer les emplois qui nous fournissons.</w:t>
      </w:r>
    </w:p>
    <w:sectPr w:rsidR="0069214F" w:rsidRPr="0069214F" w:rsidSect="00D6213A">
      <w:headerReference w:type="default" r:id="rId11"/>
      <w:pgSz w:w="11906" w:h="16838"/>
      <w:pgMar w:top="1417" w:right="1417" w:bottom="1417" w:left="1417" w:header="328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A014B9" w14:textId="77777777" w:rsidR="005733FF" w:rsidRDefault="005733FF" w:rsidP="0069214F">
      <w:pPr>
        <w:spacing w:after="0" w:line="240" w:lineRule="auto"/>
      </w:pPr>
      <w:r>
        <w:separator/>
      </w:r>
    </w:p>
  </w:endnote>
  <w:endnote w:type="continuationSeparator" w:id="0">
    <w:p w14:paraId="0DF34B07" w14:textId="77777777" w:rsidR="005733FF" w:rsidRDefault="005733FF" w:rsidP="00692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7F962" w14:textId="77777777" w:rsidR="005733FF" w:rsidRDefault="005733FF" w:rsidP="0069214F">
      <w:pPr>
        <w:spacing w:after="0" w:line="240" w:lineRule="auto"/>
      </w:pPr>
      <w:r>
        <w:separator/>
      </w:r>
    </w:p>
  </w:footnote>
  <w:footnote w:type="continuationSeparator" w:id="0">
    <w:p w14:paraId="39D003E0" w14:textId="77777777" w:rsidR="005733FF" w:rsidRDefault="005733FF" w:rsidP="00692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A9E10" w14:textId="76E334ED" w:rsidR="0069214F" w:rsidRDefault="0069214F">
    <w:pPr>
      <w:pStyle w:val="En-tte"/>
    </w:pPr>
    <w:r>
      <w:rPr>
        <w:noProof/>
      </w:rPr>
      <w:drawing>
        <wp:anchor distT="0" distB="0" distL="114300" distR="114300" simplePos="0" relativeHeight="251658240" behindDoc="0" locked="0" layoutInCell="1" allowOverlap="1" wp14:anchorId="05726EEF" wp14:editId="55B7FDB4">
          <wp:simplePos x="0" y="0"/>
          <wp:positionH relativeFrom="page">
            <wp:align>right</wp:align>
          </wp:positionH>
          <wp:positionV relativeFrom="margin">
            <wp:posOffset>-3047365</wp:posOffset>
          </wp:positionV>
          <wp:extent cx="7829550" cy="273367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4778"/>
                  <a:stretch/>
                </pic:blipFill>
                <pic:spPr bwMode="auto">
                  <a:xfrm>
                    <a:off x="0" y="0"/>
                    <a:ext cx="7829550" cy="273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F76D9"/>
    <w:multiLevelType w:val="hybridMultilevel"/>
    <w:tmpl w:val="775EC57C"/>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15:restartNumberingAfterBreak="0">
    <w:nsid w:val="3AE63FAC"/>
    <w:multiLevelType w:val="hybridMultilevel"/>
    <w:tmpl w:val="F348BDE6"/>
    <w:lvl w:ilvl="0" w:tplc="F08CDE54">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15:restartNumberingAfterBreak="0">
    <w:nsid w:val="3BE15462"/>
    <w:multiLevelType w:val="hybridMultilevel"/>
    <w:tmpl w:val="A162A88C"/>
    <w:lvl w:ilvl="0" w:tplc="080C0001">
      <w:start w:val="1"/>
      <w:numFmt w:val="bullet"/>
      <w:lvlText w:val=""/>
      <w:lvlJc w:val="left"/>
      <w:pPr>
        <w:ind w:left="768" w:hanging="360"/>
      </w:pPr>
      <w:rPr>
        <w:rFonts w:ascii="Symbol" w:hAnsi="Symbol" w:hint="default"/>
      </w:rPr>
    </w:lvl>
    <w:lvl w:ilvl="1" w:tplc="080C0003" w:tentative="1">
      <w:start w:val="1"/>
      <w:numFmt w:val="bullet"/>
      <w:lvlText w:val="o"/>
      <w:lvlJc w:val="left"/>
      <w:pPr>
        <w:ind w:left="1488" w:hanging="360"/>
      </w:pPr>
      <w:rPr>
        <w:rFonts w:ascii="Courier New" w:hAnsi="Courier New" w:cs="Courier New" w:hint="default"/>
      </w:rPr>
    </w:lvl>
    <w:lvl w:ilvl="2" w:tplc="080C0005" w:tentative="1">
      <w:start w:val="1"/>
      <w:numFmt w:val="bullet"/>
      <w:lvlText w:val=""/>
      <w:lvlJc w:val="left"/>
      <w:pPr>
        <w:ind w:left="2208" w:hanging="360"/>
      </w:pPr>
      <w:rPr>
        <w:rFonts w:ascii="Wingdings" w:hAnsi="Wingdings" w:hint="default"/>
      </w:rPr>
    </w:lvl>
    <w:lvl w:ilvl="3" w:tplc="080C0001" w:tentative="1">
      <w:start w:val="1"/>
      <w:numFmt w:val="bullet"/>
      <w:lvlText w:val=""/>
      <w:lvlJc w:val="left"/>
      <w:pPr>
        <w:ind w:left="2928" w:hanging="360"/>
      </w:pPr>
      <w:rPr>
        <w:rFonts w:ascii="Symbol" w:hAnsi="Symbol" w:hint="default"/>
      </w:rPr>
    </w:lvl>
    <w:lvl w:ilvl="4" w:tplc="080C0003" w:tentative="1">
      <w:start w:val="1"/>
      <w:numFmt w:val="bullet"/>
      <w:lvlText w:val="o"/>
      <w:lvlJc w:val="left"/>
      <w:pPr>
        <w:ind w:left="3648" w:hanging="360"/>
      </w:pPr>
      <w:rPr>
        <w:rFonts w:ascii="Courier New" w:hAnsi="Courier New" w:cs="Courier New" w:hint="default"/>
      </w:rPr>
    </w:lvl>
    <w:lvl w:ilvl="5" w:tplc="080C0005" w:tentative="1">
      <w:start w:val="1"/>
      <w:numFmt w:val="bullet"/>
      <w:lvlText w:val=""/>
      <w:lvlJc w:val="left"/>
      <w:pPr>
        <w:ind w:left="4368" w:hanging="360"/>
      </w:pPr>
      <w:rPr>
        <w:rFonts w:ascii="Wingdings" w:hAnsi="Wingdings" w:hint="default"/>
      </w:rPr>
    </w:lvl>
    <w:lvl w:ilvl="6" w:tplc="080C0001" w:tentative="1">
      <w:start w:val="1"/>
      <w:numFmt w:val="bullet"/>
      <w:lvlText w:val=""/>
      <w:lvlJc w:val="left"/>
      <w:pPr>
        <w:ind w:left="5088" w:hanging="360"/>
      </w:pPr>
      <w:rPr>
        <w:rFonts w:ascii="Symbol" w:hAnsi="Symbol" w:hint="default"/>
      </w:rPr>
    </w:lvl>
    <w:lvl w:ilvl="7" w:tplc="080C0003" w:tentative="1">
      <w:start w:val="1"/>
      <w:numFmt w:val="bullet"/>
      <w:lvlText w:val="o"/>
      <w:lvlJc w:val="left"/>
      <w:pPr>
        <w:ind w:left="5808" w:hanging="360"/>
      </w:pPr>
      <w:rPr>
        <w:rFonts w:ascii="Courier New" w:hAnsi="Courier New" w:cs="Courier New" w:hint="default"/>
      </w:rPr>
    </w:lvl>
    <w:lvl w:ilvl="8" w:tplc="080C0005" w:tentative="1">
      <w:start w:val="1"/>
      <w:numFmt w:val="bullet"/>
      <w:lvlText w:val=""/>
      <w:lvlJc w:val="left"/>
      <w:pPr>
        <w:ind w:left="6528" w:hanging="360"/>
      </w:pPr>
      <w:rPr>
        <w:rFonts w:ascii="Wingdings" w:hAnsi="Wingdings" w:hint="default"/>
      </w:rPr>
    </w:lvl>
  </w:abstractNum>
  <w:abstractNum w:abstractNumId="3" w15:restartNumberingAfterBreak="0">
    <w:nsid w:val="409F445D"/>
    <w:multiLevelType w:val="hybridMultilevel"/>
    <w:tmpl w:val="CCE64DB2"/>
    <w:lvl w:ilvl="0" w:tplc="080C000B">
      <w:start w:val="1"/>
      <w:numFmt w:val="bullet"/>
      <w:lvlText w:val=""/>
      <w:lvlJc w:val="left"/>
      <w:pPr>
        <w:ind w:left="720" w:hanging="360"/>
      </w:pPr>
      <w:rPr>
        <w:rFonts w:ascii="Wingdings" w:hAnsi="Wingding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596F4809"/>
    <w:multiLevelType w:val="hybridMultilevel"/>
    <w:tmpl w:val="6A4E8EA2"/>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15:restartNumberingAfterBreak="0">
    <w:nsid w:val="6273232B"/>
    <w:multiLevelType w:val="hybridMultilevel"/>
    <w:tmpl w:val="3E548EEE"/>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14F"/>
    <w:rsid w:val="00030231"/>
    <w:rsid w:val="00032D22"/>
    <w:rsid w:val="0009356D"/>
    <w:rsid w:val="000B2B1B"/>
    <w:rsid w:val="00105A79"/>
    <w:rsid w:val="0010784E"/>
    <w:rsid w:val="00172D2D"/>
    <w:rsid w:val="001935FC"/>
    <w:rsid w:val="0019509B"/>
    <w:rsid w:val="001A6909"/>
    <w:rsid w:val="001C205B"/>
    <w:rsid w:val="00206F70"/>
    <w:rsid w:val="00253CC9"/>
    <w:rsid w:val="00293962"/>
    <w:rsid w:val="003022A1"/>
    <w:rsid w:val="00425E3C"/>
    <w:rsid w:val="00464EBB"/>
    <w:rsid w:val="00474BD3"/>
    <w:rsid w:val="00497510"/>
    <w:rsid w:val="004A52BC"/>
    <w:rsid w:val="004A63F7"/>
    <w:rsid w:val="004F07C2"/>
    <w:rsid w:val="00512A8D"/>
    <w:rsid w:val="00546533"/>
    <w:rsid w:val="005733FF"/>
    <w:rsid w:val="0059568E"/>
    <w:rsid w:val="005D6959"/>
    <w:rsid w:val="006161A4"/>
    <w:rsid w:val="0069214F"/>
    <w:rsid w:val="006A37E6"/>
    <w:rsid w:val="006B4E3E"/>
    <w:rsid w:val="00736BD9"/>
    <w:rsid w:val="007C1B88"/>
    <w:rsid w:val="00893295"/>
    <w:rsid w:val="008945C2"/>
    <w:rsid w:val="008D204C"/>
    <w:rsid w:val="009D403B"/>
    <w:rsid w:val="009F1CBE"/>
    <w:rsid w:val="00A418D1"/>
    <w:rsid w:val="00A7491B"/>
    <w:rsid w:val="00A85E23"/>
    <w:rsid w:val="00A97CA6"/>
    <w:rsid w:val="00AF3527"/>
    <w:rsid w:val="00B13CEB"/>
    <w:rsid w:val="00B303A4"/>
    <w:rsid w:val="00B53C0F"/>
    <w:rsid w:val="00B94F64"/>
    <w:rsid w:val="00BD2BFF"/>
    <w:rsid w:val="00C01846"/>
    <w:rsid w:val="00C2299B"/>
    <w:rsid w:val="00C25ABC"/>
    <w:rsid w:val="00C36FB4"/>
    <w:rsid w:val="00C63C88"/>
    <w:rsid w:val="00CA63EC"/>
    <w:rsid w:val="00CD01B0"/>
    <w:rsid w:val="00CF7888"/>
    <w:rsid w:val="00D158AC"/>
    <w:rsid w:val="00D6213A"/>
    <w:rsid w:val="00DD2E14"/>
    <w:rsid w:val="00DF2B21"/>
    <w:rsid w:val="00DF703F"/>
    <w:rsid w:val="00E16602"/>
    <w:rsid w:val="00E1759D"/>
    <w:rsid w:val="00E23C3B"/>
    <w:rsid w:val="00E87B93"/>
    <w:rsid w:val="00EB34DB"/>
    <w:rsid w:val="00ED00BA"/>
    <w:rsid w:val="00EE3CCA"/>
    <w:rsid w:val="00F159D0"/>
    <w:rsid w:val="00F528EE"/>
    <w:rsid w:val="00F94D37"/>
    <w:rsid w:val="00FB42AE"/>
    <w:rsid w:val="00FE40E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4DB60"/>
  <w15:chartTrackingRefBased/>
  <w15:docId w15:val="{04F7BFD9-2C75-4062-97BB-01F46F0BB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13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9214F"/>
    <w:pPr>
      <w:tabs>
        <w:tab w:val="center" w:pos="4536"/>
        <w:tab w:val="right" w:pos="9072"/>
      </w:tabs>
      <w:spacing w:after="0" w:line="240" w:lineRule="auto"/>
    </w:pPr>
  </w:style>
  <w:style w:type="character" w:customStyle="1" w:styleId="En-tteCar">
    <w:name w:val="En-tête Car"/>
    <w:basedOn w:val="Policepardfaut"/>
    <w:link w:val="En-tte"/>
    <w:uiPriority w:val="99"/>
    <w:rsid w:val="0069214F"/>
  </w:style>
  <w:style w:type="paragraph" w:styleId="Pieddepage">
    <w:name w:val="footer"/>
    <w:basedOn w:val="Normal"/>
    <w:link w:val="PieddepageCar"/>
    <w:uiPriority w:val="99"/>
    <w:unhideWhenUsed/>
    <w:rsid w:val="006921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214F"/>
  </w:style>
  <w:style w:type="character" w:styleId="Lienhypertexte">
    <w:name w:val="Hyperlink"/>
    <w:basedOn w:val="Policepardfaut"/>
    <w:uiPriority w:val="99"/>
    <w:unhideWhenUsed/>
    <w:rsid w:val="00A85E23"/>
    <w:rPr>
      <w:color w:val="0563C1" w:themeColor="hyperlink"/>
      <w:u w:val="single"/>
    </w:rPr>
  </w:style>
  <w:style w:type="character" w:styleId="Mentionnonrsolue">
    <w:name w:val="Unresolved Mention"/>
    <w:basedOn w:val="Policepardfaut"/>
    <w:uiPriority w:val="99"/>
    <w:semiHidden/>
    <w:unhideWhenUsed/>
    <w:rsid w:val="00A85E23"/>
    <w:rPr>
      <w:color w:val="605E5C"/>
      <w:shd w:val="clear" w:color="auto" w:fill="E1DFDD"/>
    </w:rPr>
  </w:style>
  <w:style w:type="character" w:styleId="Marquedecommentaire">
    <w:name w:val="annotation reference"/>
    <w:basedOn w:val="Policepardfaut"/>
    <w:uiPriority w:val="99"/>
    <w:semiHidden/>
    <w:unhideWhenUsed/>
    <w:rsid w:val="00474BD3"/>
    <w:rPr>
      <w:sz w:val="16"/>
      <w:szCs w:val="16"/>
    </w:rPr>
  </w:style>
  <w:style w:type="paragraph" w:styleId="Commentaire">
    <w:name w:val="annotation text"/>
    <w:basedOn w:val="Normal"/>
    <w:link w:val="CommentaireCar"/>
    <w:uiPriority w:val="99"/>
    <w:semiHidden/>
    <w:unhideWhenUsed/>
    <w:rsid w:val="00474BD3"/>
    <w:pPr>
      <w:spacing w:line="240" w:lineRule="auto"/>
    </w:pPr>
    <w:rPr>
      <w:sz w:val="20"/>
      <w:szCs w:val="20"/>
    </w:rPr>
  </w:style>
  <w:style w:type="character" w:customStyle="1" w:styleId="CommentaireCar">
    <w:name w:val="Commentaire Car"/>
    <w:basedOn w:val="Policepardfaut"/>
    <w:link w:val="Commentaire"/>
    <w:uiPriority w:val="99"/>
    <w:semiHidden/>
    <w:rsid w:val="00474BD3"/>
    <w:rPr>
      <w:sz w:val="20"/>
      <w:szCs w:val="20"/>
    </w:rPr>
  </w:style>
  <w:style w:type="paragraph" w:styleId="Objetducommentaire">
    <w:name w:val="annotation subject"/>
    <w:basedOn w:val="Commentaire"/>
    <w:next w:val="Commentaire"/>
    <w:link w:val="ObjetducommentaireCar"/>
    <w:uiPriority w:val="99"/>
    <w:semiHidden/>
    <w:unhideWhenUsed/>
    <w:rsid w:val="00474BD3"/>
    <w:rPr>
      <w:b/>
      <w:bCs/>
    </w:rPr>
  </w:style>
  <w:style w:type="character" w:customStyle="1" w:styleId="ObjetducommentaireCar">
    <w:name w:val="Objet du commentaire Car"/>
    <w:basedOn w:val="CommentaireCar"/>
    <w:link w:val="Objetducommentaire"/>
    <w:uiPriority w:val="99"/>
    <w:semiHidden/>
    <w:rsid w:val="00474BD3"/>
    <w:rPr>
      <w:b/>
      <w:bCs/>
      <w:sz w:val="20"/>
      <w:szCs w:val="20"/>
    </w:rPr>
  </w:style>
  <w:style w:type="paragraph" w:styleId="Textedebulles">
    <w:name w:val="Balloon Text"/>
    <w:basedOn w:val="Normal"/>
    <w:link w:val="TextedebullesCar"/>
    <w:uiPriority w:val="99"/>
    <w:semiHidden/>
    <w:unhideWhenUsed/>
    <w:rsid w:val="00474BD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74BD3"/>
    <w:rPr>
      <w:rFonts w:ascii="Segoe UI" w:hAnsi="Segoe UI" w:cs="Segoe UI"/>
      <w:sz w:val="18"/>
      <w:szCs w:val="18"/>
    </w:rPr>
  </w:style>
  <w:style w:type="character" w:styleId="Lienhypertextesuivivisit">
    <w:name w:val="FollowedHyperlink"/>
    <w:basedOn w:val="Policepardfaut"/>
    <w:uiPriority w:val="99"/>
    <w:semiHidden/>
    <w:unhideWhenUsed/>
    <w:rsid w:val="00B13CEB"/>
    <w:rPr>
      <w:color w:val="954F72" w:themeColor="followedHyperlink"/>
      <w:u w:val="single"/>
    </w:rPr>
  </w:style>
  <w:style w:type="paragraph" w:styleId="Paragraphedeliste">
    <w:name w:val="List Paragraph"/>
    <w:basedOn w:val="Normal"/>
    <w:uiPriority w:val="34"/>
    <w:qFormat/>
    <w:rsid w:val="001A69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F97661DE2E394294EB16C2164D4899" ma:contentTypeVersion="10" ma:contentTypeDescription="Crée un document." ma:contentTypeScope="" ma:versionID="ce5e53fd991f19cbb1b7962376bd1567">
  <xsd:schema xmlns:xsd="http://www.w3.org/2001/XMLSchema" xmlns:xs="http://www.w3.org/2001/XMLSchema" xmlns:p="http://schemas.microsoft.com/office/2006/metadata/properties" xmlns:ns3="dd906c03-008f-4f7d-8652-60d76e25463c" xmlns:ns4="897c51e3-1964-46c4-8ee8-e9756d281393" targetNamespace="http://schemas.microsoft.com/office/2006/metadata/properties" ma:root="true" ma:fieldsID="2751256d4c9f0643ad69791698e3bd24" ns3:_="" ns4:_="">
    <xsd:import namespace="dd906c03-008f-4f7d-8652-60d76e25463c"/>
    <xsd:import namespace="897c51e3-1964-46c4-8ee8-e9756d28139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06c03-008f-4f7d-8652-60d76e2546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7c51e3-1964-46c4-8ee8-e9756d281393"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SharingHintHash" ma:index="17"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B94D9-21E8-42DA-8866-DA84A1A5C1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B0D818-22FB-400B-80ED-942633DD9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06c03-008f-4f7d-8652-60d76e25463c"/>
    <ds:schemaRef ds:uri="897c51e3-1964-46c4-8ee8-e9756d281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A94B00-0D62-4138-B959-01CF8F28C112}">
  <ds:schemaRefs>
    <ds:schemaRef ds:uri="http://schemas.microsoft.com/sharepoint/v3/contenttype/forms"/>
  </ds:schemaRefs>
</ds:datastoreItem>
</file>

<file path=customXml/itemProps4.xml><?xml version="1.0" encoding="utf-8"?>
<ds:datastoreItem xmlns:ds="http://schemas.openxmlformats.org/officeDocument/2006/customXml" ds:itemID="{CAE0AC93-CC35-4D25-80C7-290707342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705</Words>
  <Characters>3880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Tuczynski</dc:creator>
  <cp:keywords/>
  <dc:description/>
  <cp:lastModifiedBy>Marie Tuczynski</cp:lastModifiedBy>
  <cp:revision>3</cp:revision>
  <cp:lastPrinted>2019-12-02T13:10:00Z</cp:lastPrinted>
  <dcterms:created xsi:type="dcterms:W3CDTF">2019-12-04T16:42:00Z</dcterms:created>
  <dcterms:modified xsi:type="dcterms:W3CDTF">2019-12-04T16:56:00Z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0x01010056F97661DE2E394294EB16C2164D4899</vt:lpwstr>
  </property>
</Properties>
</file>